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7A" w:rsidRPr="0052707A" w:rsidRDefault="00A10C2C" w:rsidP="0052707A">
      <w:pPr>
        <w:jc w:val="right"/>
        <w:rPr>
          <w:lang w:val="en-GB"/>
        </w:rPr>
      </w:pPr>
      <w:bookmarkStart w:id="0" w:name="_GoBack"/>
      <w:bookmarkEnd w:id="0"/>
      <w:r>
        <w:rPr>
          <w:lang w:val="en-GB"/>
        </w:rPr>
        <w:t xml:space="preserve">Input for the </w:t>
      </w:r>
      <w:r w:rsidR="0052707A" w:rsidRPr="0052707A">
        <w:rPr>
          <w:lang w:val="en-GB"/>
        </w:rPr>
        <w:t>DISCIT Final Conference – Brussels, Belgium, 9</w:t>
      </w:r>
      <w:r w:rsidR="0052707A">
        <w:rPr>
          <w:lang w:val="en-GB"/>
        </w:rPr>
        <w:t>-</w:t>
      </w:r>
      <w:r w:rsidR="0052707A" w:rsidRPr="0052707A">
        <w:rPr>
          <w:lang w:val="en-GB"/>
        </w:rPr>
        <w:t>10 November 2015</w:t>
      </w:r>
    </w:p>
    <w:p w:rsidR="00E80037" w:rsidRPr="002E370B" w:rsidRDefault="002E370B" w:rsidP="002E370B">
      <w:pPr>
        <w:rPr>
          <w:b/>
          <w:i/>
          <w:sz w:val="24"/>
          <w:lang w:val="en-GB"/>
        </w:rPr>
      </w:pPr>
      <w:r w:rsidRPr="002E370B">
        <w:rPr>
          <w:b/>
          <w:i/>
          <w:sz w:val="24"/>
          <w:lang w:val="en-GB"/>
        </w:rPr>
        <w:t xml:space="preserve">The UN CRPD – Opportunities for Persons with Disabilities and their </w:t>
      </w:r>
      <w:r w:rsidR="004E57D1" w:rsidRPr="002E370B">
        <w:rPr>
          <w:b/>
          <w:i/>
          <w:sz w:val="24"/>
          <w:lang w:val="en-GB"/>
        </w:rPr>
        <w:t>Representative</w:t>
      </w:r>
      <w:r w:rsidRPr="002E370B">
        <w:rPr>
          <w:b/>
          <w:i/>
          <w:sz w:val="24"/>
          <w:lang w:val="en-GB"/>
        </w:rPr>
        <w:t xml:space="preserve"> Organisations</w:t>
      </w:r>
    </w:p>
    <w:p w:rsidR="002E370B" w:rsidRDefault="002E370B">
      <w:pPr>
        <w:rPr>
          <w:i/>
          <w:lang w:val="en-GB"/>
        </w:rPr>
      </w:pPr>
      <w:r>
        <w:rPr>
          <w:lang w:val="en-GB"/>
        </w:rPr>
        <w:t xml:space="preserve">WP 9 </w:t>
      </w:r>
      <w:r w:rsidRPr="002E370B">
        <w:rPr>
          <w:i/>
          <w:lang w:val="en-GB"/>
        </w:rPr>
        <w:t>“Active Citizenship as Political Participation”</w:t>
      </w:r>
    </w:p>
    <w:p w:rsidR="00054F78" w:rsidRDefault="00054F78" w:rsidP="00054F78">
      <w:pPr>
        <w:pStyle w:val="KeinLeerraum"/>
        <w:rPr>
          <w:lang w:val="en-GB"/>
        </w:rPr>
      </w:pPr>
    </w:p>
    <w:p w:rsidR="00376F06" w:rsidRPr="00054F78" w:rsidRDefault="006059B7" w:rsidP="00054F78">
      <w:pPr>
        <w:rPr>
          <w:u w:val="single"/>
          <w:lang w:val="en-GB"/>
        </w:rPr>
      </w:pPr>
      <w:r w:rsidRPr="006059B7">
        <w:rPr>
          <w:u w:val="single"/>
          <w:lang w:val="en-GB"/>
        </w:rPr>
        <w:t xml:space="preserve">1. </w:t>
      </w:r>
      <w:r w:rsidR="00054F78">
        <w:rPr>
          <w:u w:val="single"/>
          <w:lang w:val="en-GB"/>
        </w:rPr>
        <w:t xml:space="preserve">Disability Rights </w:t>
      </w:r>
      <w:r w:rsidR="00655A8F">
        <w:rPr>
          <w:u w:val="single"/>
          <w:lang w:val="en-GB"/>
        </w:rPr>
        <w:t xml:space="preserve">Advocacy &amp; </w:t>
      </w:r>
      <w:r w:rsidR="00054F78">
        <w:rPr>
          <w:u w:val="single"/>
          <w:lang w:val="en-GB"/>
        </w:rPr>
        <w:t xml:space="preserve">Activism: </w:t>
      </w:r>
      <w:r w:rsidR="003C25A6">
        <w:rPr>
          <w:u w:val="single"/>
          <w:lang w:val="en-GB"/>
        </w:rPr>
        <w:t>Organisational Structures and the Principle of Self-Representation</w:t>
      </w:r>
    </w:p>
    <w:p w:rsidR="00655A8F" w:rsidRPr="00655A8F" w:rsidRDefault="00B54719" w:rsidP="00655A8F">
      <w:pPr>
        <w:ind w:left="284"/>
        <w:rPr>
          <w:lang w:val="en-GB"/>
        </w:rPr>
      </w:pPr>
      <w:r>
        <w:rPr>
          <w:lang w:val="en-GB"/>
        </w:rPr>
        <w:t>Our research focus</w:t>
      </w:r>
      <w:r w:rsidR="00EF3DEA">
        <w:rPr>
          <w:lang w:val="en-GB"/>
        </w:rPr>
        <w:t xml:space="preserve">ed on </w:t>
      </w:r>
      <w:r w:rsidR="00EF3DEA" w:rsidRPr="00EF3DEA">
        <w:rPr>
          <w:b/>
          <w:lang w:val="en-GB"/>
        </w:rPr>
        <w:t>collective political participation</w:t>
      </w:r>
      <w:r w:rsidR="00EF3DEA">
        <w:rPr>
          <w:lang w:val="en-GB"/>
        </w:rPr>
        <w:t xml:space="preserve"> of persons with disabilities</w:t>
      </w:r>
      <w:r w:rsidR="00655A8F">
        <w:rPr>
          <w:lang w:val="en-GB"/>
        </w:rPr>
        <w:t>, i.e. the structures and practices of</w:t>
      </w:r>
      <w:r w:rsidR="00EF3DEA">
        <w:rPr>
          <w:lang w:val="en-GB"/>
        </w:rPr>
        <w:t xml:space="preserve"> </w:t>
      </w:r>
      <w:r w:rsidR="00655A8F">
        <w:rPr>
          <w:lang w:val="en-GB"/>
        </w:rPr>
        <w:t>organisations representing disabled persons</w:t>
      </w:r>
      <w:r w:rsidR="00C81377">
        <w:rPr>
          <w:lang w:val="en-GB"/>
        </w:rPr>
        <w:t xml:space="preserve"> in European countries</w:t>
      </w:r>
      <w:r w:rsidR="00EF3DEA">
        <w:rPr>
          <w:lang w:val="en-GB"/>
        </w:rPr>
        <w:t xml:space="preserve">. </w:t>
      </w:r>
      <w:r w:rsidR="00655A8F">
        <w:rPr>
          <w:lang w:val="en-GB"/>
        </w:rPr>
        <w:t>As</w:t>
      </w:r>
      <w:r w:rsidR="00EF3DEA">
        <w:rPr>
          <w:lang w:val="en-GB"/>
        </w:rPr>
        <w:t xml:space="preserve"> first step </w:t>
      </w:r>
      <w:r w:rsidR="00655A8F">
        <w:rPr>
          <w:lang w:val="en-GB"/>
        </w:rPr>
        <w:t>we aimed at providing</w:t>
      </w:r>
      <w:r w:rsidR="00C81377">
        <w:rPr>
          <w:lang w:val="en-GB"/>
        </w:rPr>
        <w:t xml:space="preserve"> </w:t>
      </w:r>
      <w:r w:rsidR="00A97EA4">
        <w:rPr>
          <w:lang w:val="en-GB"/>
        </w:rPr>
        <w:t>an overview of th</w:t>
      </w:r>
      <w:r w:rsidR="00C56ABA">
        <w:rPr>
          <w:lang w:val="en-GB"/>
        </w:rPr>
        <w:t>e</w:t>
      </w:r>
      <w:r w:rsidR="00A97EA4">
        <w:rPr>
          <w:lang w:val="en-GB"/>
        </w:rPr>
        <w:t xml:space="preserve">se organisations </w:t>
      </w:r>
      <w:r w:rsidR="00655A8F">
        <w:rPr>
          <w:lang w:val="en-GB"/>
        </w:rPr>
        <w:t>in all nine countries involved in DISCIT</w:t>
      </w:r>
      <w:r w:rsidR="00C56ABA">
        <w:rPr>
          <w:lang w:val="en-GB"/>
        </w:rPr>
        <w:t>. On the basis of nine national reports (</w:t>
      </w:r>
      <w:r w:rsidR="00655A8F">
        <w:rPr>
          <w:lang w:val="en-GB"/>
        </w:rPr>
        <w:t xml:space="preserve">written </w:t>
      </w:r>
      <w:r w:rsidR="00C56ABA">
        <w:rPr>
          <w:lang w:val="en-GB"/>
        </w:rPr>
        <w:t>by the DISCIT consortium members) and additional desk</w:t>
      </w:r>
      <w:r w:rsidR="00504227">
        <w:rPr>
          <w:lang w:val="en-GB"/>
        </w:rPr>
        <w:t xml:space="preserve"> research</w:t>
      </w:r>
      <w:r w:rsidR="00C56ABA">
        <w:rPr>
          <w:lang w:val="en-GB"/>
        </w:rPr>
        <w:t>, we</w:t>
      </w:r>
      <w:r w:rsidR="00655A8F">
        <w:rPr>
          <w:lang w:val="en-GB"/>
        </w:rPr>
        <w:t xml:space="preserve"> developed</w:t>
      </w:r>
      <w:r w:rsidR="00C56ABA">
        <w:rPr>
          <w:lang w:val="en-GB"/>
        </w:rPr>
        <w:t xml:space="preserve"> a </w:t>
      </w:r>
      <w:r w:rsidR="00C56ABA" w:rsidRPr="008A6113">
        <w:rPr>
          <w:b/>
          <w:lang w:val="en-GB"/>
        </w:rPr>
        <w:t>categorisation</w:t>
      </w:r>
      <w:r w:rsidR="00C56ABA">
        <w:rPr>
          <w:lang w:val="en-GB"/>
        </w:rPr>
        <w:t xml:space="preserve"> </w:t>
      </w:r>
      <w:r w:rsidR="00C56ABA" w:rsidRPr="008A6113">
        <w:rPr>
          <w:b/>
          <w:lang w:val="en-GB"/>
        </w:rPr>
        <w:t>of organisations</w:t>
      </w:r>
      <w:r w:rsidR="00C56ABA">
        <w:rPr>
          <w:lang w:val="en-GB"/>
        </w:rPr>
        <w:t xml:space="preserve"> relevant for disability rights advocacy</w:t>
      </w:r>
      <w:r w:rsidR="00655A8F">
        <w:rPr>
          <w:lang w:val="en-GB"/>
        </w:rPr>
        <w:t xml:space="preserve"> and activism</w:t>
      </w:r>
      <w:r w:rsidR="00C56ABA">
        <w:rPr>
          <w:lang w:val="en-GB"/>
        </w:rPr>
        <w:t xml:space="preserve">. </w:t>
      </w:r>
      <w:r w:rsidR="008A6113">
        <w:rPr>
          <w:lang w:val="en-GB"/>
        </w:rPr>
        <w:t>The analysis of</w:t>
      </w:r>
      <w:r w:rsidR="00C56ABA">
        <w:rPr>
          <w:lang w:val="en-GB"/>
        </w:rPr>
        <w:t xml:space="preserve"> organisational structures allowed for a differentiation between </w:t>
      </w:r>
      <w:r w:rsidR="00C56ABA" w:rsidRPr="00676751">
        <w:rPr>
          <w:lang w:val="en-GB"/>
        </w:rPr>
        <w:t>different</w:t>
      </w:r>
      <w:r w:rsidR="00C56ABA" w:rsidRPr="00C56ABA">
        <w:rPr>
          <w:b/>
          <w:lang w:val="en-GB"/>
        </w:rPr>
        <w:t xml:space="preserve"> organisational types</w:t>
      </w:r>
      <w:r w:rsidR="00C56ABA">
        <w:rPr>
          <w:lang w:val="en-GB"/>
        </w:rPr>
        <w:t xml:space="preserve"> (single vs. umbrella organisation, national assemblies and networks)</w:t>
      </w:r>
      <w:r w:rsidR="008A6113">
        <w:rPr>
          <w:lang w:val="en-GB"/>
        </w:rPr>
        <w:t>.</w:t>
      </w:r>
      <w:r w:rsidR="00C56ABA">
        <w:rPr>
          <w:lang w:val="en-GB"/>
        </w:rPr>
        <w:t xml:space="preserve"> </w:t>
      </w:r>
      <w:r w:rsidR="00F05C43">
        <w:rPr>
          <w:lang w:val="en-GB"/>
        </w:rPr>
        <w:t>Further,</w:t>
      </w:r>
      <w:r w:rsidR="00F05C43" w:rsidRPr="00F05C43">
        <w:rPr>
          <w:lang w:val="en-GB"/>
        </w:rPr>
        <w:t xml:space="preserve"> </w:t>
      </w:r>
      <w:r w:rsidR="00F05C43">
        <w:rPr>
          <w:lang w:val="en-GB"/>
        </w:rPr>
        <w:t xml:space="preserve">the </w:t>
      </w:r>
      <w:r w:rsidR="00F05C43" w:rsidRPr="00676751">
        <w:rPr>
          <w:b/>
          <w:lang w:val="en-GB"/>
        </w:rPr>
        <w:t>target group</w:t>
      </w:r>
      <w:r w:rsidR="00F05C43">
        <w:rPr>
          <w:lang w:val="en-GB"/>
        </w:rPr>
        <w:t xml:space="preserve">, whether organisations aimed at an impairment-specific constituency or followed a cross-impairment approach, was a relevant criterion. Additionally, the </w:t>
      </w:r>
      <w:r w:rsidR="00C81377" w:rsidRPr="00676751">
        <w:rPr>
          <w:b/>
          <w:lang w:val="en-GB"/>
        </w:rPr>
        <w:t>political level</w:t>
      </w:r>
      <w:r w:rsidR="00F05C43">
        <w:rPr>
          <w:lang w:val="en-GB"/>
        </w:rPr>
        <w:t xml:space="preserve"> of activities (</w:t>
      </w:r>
      <w:r w:rsidR="00F05C43" w:rsidRPr="00655A8F">
        <w:rPr>
          <w:lang w:val="en-GB"/>
        </w:rPr>
        <w:t>regional, national and</w:t>
      </w:r>
      <w:r w:rsidR="00F05C43">
        <w:rPr>
          <w:lang w:val="en-GB"/>
        </w:rPr>
        <w:t>/or</w:t>
      </w:r>
      <w:r w:rsidR="00F05C43" w:rsidRPr="00655A8F">
        <w:rPr>
          <w:lang w:val="en-GB"/>
        </w:rPr>
        <w:t xml:space="preserve"> European</w:t>
      </w:r>
      <w:r w:rsidR="00F05C43">
        <w:rPr>
          <w:lang w:val="en-GB"/>
        </w:rPr>
        <w:t>) was used for differentiation. Last but not least,</w:t>
      </w:r>
      <w:r w:rsidR="00F05C43" w:rsidRPr="00655A8F">
        <w:rPr>
          <w:lang w:val="en-GB"/>
        </w:rPr>
        <w:t xml:space="preserve"> </w:t>
      </w:r>
      <w:r w:rsidR="00655A8F" w:rsidRPr="00655A8F">
        <w:rPr>
          <w:lang w:val="en-GB"/>
        </w:rPr>
        <w:t>the cr</w:t>
      </w:r>
      <w:r w:rsidR="00F05C43">
        <w:rPr>
          <w:lang w:val="en-GB"/>
        </w:rPr>
        <w:t xml:space="preserve">iterion of </w:t>
      </w:r>
      <w:r w:rsidR="00F05C43" w:rsidRPr="00676751">
        <w:rPr>
          <w:b/>
          <w:lang w:val="en-GB"/>
        </w:rPr>
        <w:t>self-representation</w:t>
      </w:r>
      <w:r w:rsidR="00F05C43">
        <w:rPr>
          <w:lang w:val="en-GB"/>
        </w:rPr>
        <w:t xml:space="preserve"> proved important: Are the </w:t>
      </w:r>
      <w:r w:rsidR="00655A8F" w:rsidRPr="00655A8F">
        <w:rPr>
          <w:lang w:val="en-GB"/>
        </w:rPr>
        <w:t>or</w:t>
      </w:r>
      <w:r w:rsidR="00F05C43">
        <w:rPr>
          <w:lang w:val="en-GB"/>
        </w:rPr>
        <w:t>ganisations formed of or for persons with disabilities?</w:t>
      </w:r>
    </w:p>
    <w:p w:rsidR="00376F06" w:rsidRDefault="008A6113" w:rsidP="006C1FEF">
      <w:pPr>
        <w:ind w:left="284"/>
        <w:rPr>
          <w:lang w:val="en-GB"/>
        </w:rPr>
      </w:pPr>
      <w:r>
        <w:rPr>
          <w:lang w:val="en-GB"/>
        </w:rPr>
        <w:t>A closer look at the statutes of the nation</w:t>
      </w:r>
      <w:r w:rsidR="006C1FEF">
        <w:rPr>
          <w:lang w:val="en-GB"/>
        </w:rPr>
        <w:t xml:space="preserve">al disability councils resulted in the insight that </w:t>
      </w:r>
      <w:r w:rsidR="006C1FEF" w:rsidRPr="006C1FEF">
        <w:rPr>
          <w:b/>
          <w:lang w:val="en-GB"/>
        </w:rPr>
        <w:t>the principle of</w:t>
      </w:r>
      <w:r w:rsidR="006C1FEF">
        <w:rPr>
          <w:lang w:val="en-GB"/>
        </w:rPr>
        <w:t xml:space="preserve"> </w:t>
      </w:r>
      <w:r w:rsidR="006C1FEF" w:rsidRPr="006C1FEF">
        <w:rPr>
          <w:b/>
          <w:lang w:val="en-GB"/>
        </w:rPr>
        <w:t xml:space="preserve">self-representation </w:t>
      </w:r>
      <w:r w:rsidR="006C1FEF">
        <w:rPr>
          <w:b/>
          <w:lang w:val="en-GB"/>
        </w:rPr>
        <w:t>is</w:t>
      </w:r>
      <w:r w:rsidR="006C1FEF" w:rsidRPr="006C1FEF">
        <w:rPr>
          <w:b/>
          <w:lang w:val="en-GB"/>
        </w:rPr>
        <w:t xml:space="preserve"> realised differently</w:t>
      </w:r>
      <w:r w:rsidR="006C1FEF">
        <w:rPr>
          <w:lang w:val="en-GB"/>
        </w:rPr>
        <w:t xml:space="preserve">, </w:t>
      </w:r>
      <w:r w:rsidR="006C1FEF" w:rsidRPr="006C1FEF">
        <w:rPr>
          <w:lang w:val="en-GB"/>
        </w:rPr>
        <w:t xml:space="preserve">ranging from very </w:t>
      </w:r>
      <w:r w:rsidR="00C81377">
        <w:rPr>
          <w:b/>
          <w:lang w:val="en-GB"/>
        </w:rPr>
        <w:t>general</w:t>
      </w:r>
      <w:r w:rsidR="00C81377" w:rsidRPr="006C1FEF">
        <w:rPr>
          <w:b/>
          <w:lang w:val="en-GB"/>
        </w:rPr>
        <w:t xml:space="preserve"> </w:t>
      </w:r>
      <w:r w:rsidR="006C1FEF" w:rsidRPr="006C1FEF">
        <w:rPr>
          <w:b/>
          <w:lang w:val="en-GB"/>
        </w:rPr>
        <w:t>approaches</w:t>
      </w:r>
      <w:r w:rsidR="006C1FEF" w:rsidRPr="006C1FEF">
        <w:rPr>
          <w:lang w:val="en-GB"/>
        </w:rPr>
        <w:t xml:space="preserve"> (as in the case of the D</w:t>
      </w:r>
      <w:r w:rsidR="006C1FEF">
        <w:rPr>
          <w:lang w:val="en-GB"/>
        </w:rPr>
        <w:t xml:space="preserve">isability </w:t>
      </w:r>
      <w:r w:rsidR="006C1FEF" w:rsidRPr="006C1FEF">
        <w:rPr>
          <w:lang w:val="en-GB"/>
        </w:rPr>
        <w:t>F</w:t>
      </w:r>
      <w:r w:rsidR="006C1FEF">
        <w:rPr>
          <w:lang w:val="en-GB"/>
        </w:rPr>
        <w:t xml:space="preserve">ederation </w:t>
      </w:r>
      <w:r w:rsidR="006C1FEF" w:rsidRPr="006C1FEF">
        <w:rPr>
          <w:lang w:val="en-GB"/>
        </w:rPr>
        <w:t>I</w:t>
      </w:r>
      <w:r w:rsidR="006C1FEF">
        <w:rPr>
          <w:lang w:val="en-GB"/>
        </w:rPr>
        <w:t>reland</w:t>
      </w:r>
      <w:r w:rsidR="006C1FEF" w:rsidRPr="006C1FEF">
        <w:rPr>
          <w:lang w:val="en-GB"/>
        </w:rPr>
        <w:t xml:space="preserve">) to approaches with comparably </w:t>
      </w:r>
      <w:r w:rsidR="006C1FEF" w:rsidRPr="006C1FEF">
        <w:rPr>
          <w:b/>
          <w:lang w:val="en-GB"/>
        </w:rPr>
        <w:t>strict quotas</w:t>
      </w:r>
      <w:r w:rsidR="00F05C43">
        <w:rPr>
          <w:b/>
          <w:lang w:val="en-GB"/>
        </w:rPr>
        <w:t xml:space="preserve"> of </w:t>
      </w:r>
      <w:r w:rsidR="00C81377">
        <w:rPr>
          <w:b/>
          <w:lang w:val="en-GB"/>
        </w:rPr>
        <w:t>self-</w:t>
      </w:r>
      <w:r w:rsidR="00F05C43">
        <w:rPr>
          <w:b/>
          <w:lang w:val="en-GB"/>
        </w:rPr>
        <w:t>representation</w:t>
      </w:r>
      <w:r w:rsidR="006C1FEF" w:rsidRPr="006C1FEF">
        <w:rPr>
          <w:lang w:val="en-GB"/>
        </w:rPr>
        <w:t xml:space="preserve"> (as in the case of the UK Disabled People’s Council).</w:t>
      </w:r>
      <w:r w:rsidR="006C1FEF">
        <w:rPr>
          <w:lang w:val="en-GB"/>
        </w:rPr>
        <w:t xml:space="preserve"> </w:t>
      </w:r>
      <w:r w:rsidR="00F05C43">
        <w:rPr>
          <w:lang w:val="en-GB"/>
        </w:rPr>
        <w:t>Against the background of the principle "Nothing About Us Without Us" we consider the criterion of (self-)representation as eminent for characterising civil society organisations active in the field of disability policy.</w:t>
      </w:r>
    </w:p>
    <w:p w:rsidR="006059B7" w:rsidRDefault="00F05C43" w:rsidP="00AF4CE7">
      <w:pPr>
        <w:ind w:left="284"/>
        <w:rPr>
          <w:lang w:val="en-GB"/>
        </w:rPr>
      </w:pPr>
      <w:r>
        <w:rPr>
          <w:lang w:val="en-GB"/>
        </w:rPr>
        <w:t>As our research shows that this principle is yet to be fully practised in disability politics</w:t>
      </w:r>
      <w:r w:rsidR="00DA0E0A">
        <w:rPr>
          <w:lang w:val="en-GB"/>
        </w:rPr>
        <w:t xml:space="preserve">, we </w:t>
      </w:r>
      <w:r w:rsidR="00C81377">
        <w:rPr>
          <w:lang w:val="en-GB"/>
        </w:rPr>
        <w:t>abstain</w:t>
      </w:r>
      <w:r w:rsidR="00A442E1" w:rsidDel="00A442E1">
        <w:rPr>
          <w:lang w:val="en-GB"/>
        </w:rPr>
        <w:t xml:space="preserve"> </w:t>
      </w:r>
      <w:r w:rsidR="00DA0E0A">
        <w:rPr>
          <w:lang w:val="en-GB"/>
        </w:rPr>
        <w:t xml:space="preserve">from using the term “disabled people’s organisations” (DPOs) as a </w:t>
      </w:r>
      <w:r w:rsidR="00C81377">
        <w:rPr>
          <w:lang w:val="en-GB"/>
        </w:rPr>
        <w:t>general name</w:t>
      </w:r>
      <w:r w:rsidR="00DA0E0A">
        <w:rPr>
          <w:lang w:val="en-GB"/>
        </w:rPr>
        <w:t xml:space="preserve"> for all organisations active in disability rights </w:t>
      </w:r>
      <w:r w:rsidR="00AF4CE7">
        <w:rPr>
          <w:lang w:val="en-GB"/>
        </w:rPr>
        <w:t>advocacy</w:t>
      </w:r>
      <w:r w:rsidR="00DA0E0A">
        <w:rPr>
          <w:lang w:val="en-GB"/>
        </w:rPr>
        <w:t xml:space="preserve"> and substitute it with the </w:t>
      </w:r>
      <w:r w:rsidR="00A442E1">
        <w:rPr>
          <w:lang w:val="en-GB"/>
        </w:rPr>
        <w:t xml:space="preserve">generic </w:t>
      </w:r>
      <w:r w:rsidR="00C81377">
        <w:rPr>
          <w:lang w:val="en-GB"/>
        </w:rPr>
        <w:t xml:space="preserve">expression </w:t>
      </w:r>
      <w:r w:rsidR="00DA0E0A" w:rsidRPr="00DA0E0A">
        <w:rPr>
          <w:b/>
          <w:lang w:val="en-GB"/>
        </w:rPr>
        <w:t>“Disability Organisations” (DOs)</w:t>
      </w:r>
      <w:r w:rsidR="00DA0E0A">
        <w:rPr>
          <w:lang w:val="en-GB"/>
        </w:rPr>
        <w:t xml:space="preserve">. </w:t>
      </w:r>
      <w:r w:rsidR="006C1FEF">
        <w:rPr>
          <w:lang w:val="en-GB"/>
        </w:rPr>
        <w:t xml:space="preserve">In accordance with </w:t>
      </w:r>
      <w:r w:rsidR="006C1FEF" w:rsidRPr="006C1FEF">
        <w:rPr>
          <w:lang w:val="en-GB"/>
        </w:rPr>
        <w:t xml:space="preserve">the UN CRPD Committee's </w:t>
      </w:r>
      <w:r w:rsidR="00DA0E0A">
        <w:rPr>
          <w:lang w:val="en-GB"/>
        </w:rPr>
        <w:t>guidelines</w:t>
      </w:r>
      <w:r w:rsidR="006C1FEF">
        <w:rPr>
          <w:lang w:val="en-GB"/>
        </w:rPr>
        <w:t xml:space="preserve">, </w:t>
      </w:r>
      <w:r w:rsidR="00DA0E0A">
        <w:rPr>
          <w:lang w:val="en-GB"/>
        </w:rPr>
        <w:t xml:space="preserve">the term </w:t>
      </w:r>
      <w:r w:rsidR="00DA0E0A" w:rsidRPr="00DA0E0A">
        <w:rPr>
          <w:b/>
          <w:lang w:val="en-GB"/>
        </w:rPr>
        <w:t>DPO</w:t>
      </w:r>
      <w:r w:rsidR="00DA0E0A">
        <w:rPr>
          <w:lang w:val="en-GB"/>
        </w:rPr>
        <w:t xml:space="preserve"> </w:t>
      </w:r>
      <w:r w:rsidR="00C81377">
        <w:rPr>
          <w:lang w:val="en-GB"/>
        </w:rPr>
        <w:t xml:space="preserve">should </w:t>
      </w:r>
      <w:r w:rsidR="00DA0E0A">
        <w:rPr>
          <w:lang w:val="en-GB"/>
        </w:rPr>
        <w:t xml:space="preserve">be </w:t>
      </w:r>
      <w:r w:rsidR="00DA0E0A" w:rsidRPr="00DA0E0A">
        <w:rPr>
          <w:lang w:val="en-GB"/>
        </w:rPr>
        <w:t xml:space="preserve">designated </w:t>
      </w:r>
      <w:r w:rsidR="00DA0E0A">
        <w:rPr>
          <w:lang w:val="en-GB"/>
        </w:rPr>
        <w:t xml:space="preserve">solely for </w:t>
      </w:r>
      <w:r w:rsidR="006C1FEF" w:rsidRPr="00DA0E0A">
        <w:rPr>
          <w:b/>
          <w:lang w:val="en-GB"/>
        </w:rPr>
        <w:t>organisations comprised by a majority of persons with disabilities</w:t>
      </w:r>
      <w:r w:rsidR="006C1FEF" w:rsidRPr="006C1FEF">
        <w:rPr>
          <w:lang w:val="en-GB"/>
        </w:rPr>
        <w:t xml:space="preserve"> - at least half of its membership -, governed, led and directed by persons with disabilities</w:t>
      </w:r>
      <w:r w:rsidR="00DA0E0A">
        <w:rPr>
          <w:lang w:val="en-GB"/>
        </w:rPr>
        <w:t xml:space="preserve">. </w:t>
      </w:r>
      <w:r w:rsidR="00A442E1">
        <w:rPr>
          <w:lang w:val="en-GB"/>
        </w:rPr>
        <w:t xml:space="preserve"> </w:t>
      </w:r>
    </w:p>
    <w:p w:rsidR="008A6113" w:rsidRDefault="00AF4CE7">
      <w:pPr>
        <w:rPr>
          <w:u w:val="single"/>
          <w:lang w:val="en-GB"/>
        </w:rPr>
      </w:pPr>
      <w:r>
        <w:rPr>
          <w:u w:val="single"/>
          <w:lang w:val="en-GB"/>
        </w:rPr>
        <w:t>2</w:t>
      </w:r>
      <w:r w:rsidR="00376F06" w:rsidRPr="0052707A">
        <w:rPr>
          <w:u w:val="single"/>
          <w:lang w:val="en-GB"/>
        </w:rPr>
        <w:t xml:space="preserve">. </w:t>
      </w:r>
      <w:r w:rsidR="008A6113">
        <w:rPr>
          <w:u w:val="single"/>
          <w:lang w:val="en-GB"/>
        </w:rPr>
        <w:t>Opportunity Structures</w:t>
      </w:r>
      <w:r w:rsidR="00C81377">
        <w:rPr>
          <w:u w:val="single"/>
          <w:lang w:val="en-GB"/>
        </w:rPr>
        <w:t xml:space="preserve"> of Disability Rights Advocacy</w:t>
      </w:r>
      <w:r w:rsidR="008A6113">
        <w:rPr>
          <w:u w:val="single"/>
          <w:lang w:val="en-GB"/>
        </w:rPr>
        <w:t xml:space="preserve"> </w:t>
      </w:r>
      <w:r w:rsidR="00B54719">
        <w:rPr>
          <w:u w:val="single"/>
          <w:lang w:val="en-GB"/>
        </w:rPr>
        <w:t>at</w:t>
      </w:r>
      <w:r w:rsidR="008A6113">
        <w:rPr>
          <w:u w:val="single"/>
          <w:lang w:val="en-GB"/>
        </w:rPr>
        <w:t xml:space="preserve"> the European Level</w:t>
      </w:r>
    </w:p>
    <w:p w:rsidR="008A6113" w:rsidRPr="00054CC5" w:rsidRDefault="00054CC5" w:rsidP="00A408F1">
      <w:pPr>
        <w:ind w:left="284"/>
        <w:rPr>
          <w:lang w:val="en-GB"/>
        </w:rPr>
      </w:pPr>
      <w:r>
        <w:rPr>
          <w:lang w:val="en-GB"/>
        </w:rPr>
        <w:t>In o</w:t>
      </w:r>
      <w:r w:rsidR="00B54719">
        <w:rPr>
          <w:lang w:val="en-GB"/>
        </w:rPr>
        <w:t>ur second deliverable, we focus</w:t>
      </w:r>
      <w:r>
        <w:rPr>
          <w:lang w:val="en-GB"/>
        </w:rPr>
        <w:t>ed on</w:t>
      </w:r>
      <w:r w:rsidR="00504227">
        <w:rPr>
          <w:lang w:val="en-GB"/>
        </w:rPr>
        <w:t xml:space="preserve"> the </w:t>
      </w:r>
      <w:r w:rsidRPr="00054CC5">
        <w:rPr>
          <w:lang w:val="en-GB"/>
        </w:rPr>
        <w:t>internatio</w:t>
      </w:r>
      <w:r>
        <w:rPr>
          <w:lang w:val="en-GB"/>
        </w:rPr>
        <w:t xml:space="preserve">nal opportunity structures that </w:t>
      </w:r>
      <w:r w:rsidRPr="00054CC5">
        <w:rPr>
          <w:lang w:val="en-GB"/>
        </w:rPr>
        <w:t xml:space="preserve">enable DOs to side-step national </w:t>
      </w:r>
      <w:r w:rsidR="00C81377">
        <w:rPr>
          <w:lang w:val="en-GB"/>
        </w:rPr>
        <w:t>politics</w:t>
      </w:r>
      <w:r w:rsidR="00C81377" w:rsidRPr="00054CC5">
        <w:rPr>
          <w:lang w:val="en-GB"/>
        </w:rPr>
        <w:t xml:space="preserve"> </w:t>
      </w:r>
      <w:r w:rsidRPr="00054CC5">
        <w:rPr>
          <w:lang w:val="en-GB"/>
        </w:rPr>
        <w:t xml:space="preserve">and work at the </w:t>
      </w:r>
      <w:r>
        <w:rPr>
          <w:lang w:val="en-GB"/>
        </w:rPr>
        <w:t xml:space="preserve">supranational </w:t>
      </w:r>
      <w:r w:rsidR="00C81377">
        <w:rPr>
          <w:lang w:val="en-GB"/>
        </w:rPr>
        <w:t>stage</w:t>
      </w:r>
      <w:r w:rsidR="00C81377" w:rsidRPr="00054CC5">
        <w:rPr>
          <w:lang w:val="en-GB"/>
        </w:rPr>
        <w:t xml:space="preserve"> </w:t>
      </w:r>
      <w:r>
        <w:rPr>
          <w:lang w:val="en-GB"/>
        </w:rPr>
        <w:t>to</w:t>
      </w:r>
      <w:r w:rsidRPr="00054CC5">
        <w:rPr>
          <w:lang w:val="en-GB"/>
        </w:rPr>
        <w:t xml:space="preserve"> achieve reforms on European</w:t>
      </w:r>
      <w:r>
        <w:rPr>
          <w:lang w:val="en-GB"/>
        </w:rPr>
        <w:t xml:space="preserve"> and national </w:t>
      </w:r>
      <w:r w:rsidRPr="00054CC5">
        <w:rPr>
          <w:lang w:val="en-GB"/>
        </w:rPr>
        <w:t>levels</w:t>
      </w:r>
      <w:r>
        <w:rPr>
          <w:lang w:val="en-GB"/>
        </w:rPr>
        <w:t xml:space="preserve">. </w:t>
      </w:r>
      <w:r w:rsidR="00504227">
        <w:rPr>
          <w:lang w:val="en-GB"/>
        </w:rPr>
        <w:t>W</w:t>
      </w:r>
      <w:r w:rsidR="00504227" w:rsidRPr="00953DCE">
        <w:rPr>
          <w:lang w:val="en-GB"/>
        </w:rPr>
        <w:t xml:space="preserve">ith </w:t>
      </w:r>
      <w:r w:rsidR="00A442E1">
        <w:rPr>
          <w:lang w:val="en-GB"/>
        </w:rPr>
        <w:t xml:space="preserve">only </w:t>
      </w:r>
      <w:r w:rsidR="00504227" w:rsidRPr="00953DCE">
        <w:rPr>
          <w:lang w:val="en-GB"/>
        </w:rPr>
        <w:t xml:space="preserve">a </w:t>
      </w:r>
      <w:r w:rsidR="00504227">
        <w:rPr>
          <w:lang w:val="en-GB"/>
        </w:rPr>
        <w:t>five</w:t>
      </w:r>
      <w:r w:rsidR="00504227" w:rsidRPr="00953DCE">
        <w:rPr>
          <w:lang w:val="en-GB"/>
        </w:rPr>
        <w:t xml:space="preserve"> years period of legal force of the CRPD in the </w:t>
      </w:r>
      <w:r w:rsidR="00A442E1">
        <w:rPr>
          <w:lang w:val="en-GB"/>
        </w:rPr>
        <w:t>European Union</w:t>
      </w:r>
      <w:r w:rsidR="00A442E1" w:rsidRPr="00953DCE">
        <w:rPr>
          <w:lang w:val="en-GB"/>
        </w:rPr>
        <w:t xml:space="preserve"> </w:t>
      </w:r>
      <w:r w:rsidR="00A442E1">
        <w:rPr>
          <w:lang w:val="en-GB"/>
        </w:rPr>
        <w:t>(2010 – 2015)</w:t>
      </w:r>
      <w:r w:rsidR="00504227" w:rsidRPr="00953DCE">
        <w:rPr>
          <w:lang w:val="en-GB"/>
        </w:rPr>
        <w:t xml:space="preserve">, </w:t>
      </w:r>
      <w:r w:rsidR="00504227" w:rsidRPr="00953DCE">
        <w:rPr>
          <w:b/>
          <w:lang w:val="en-GB"/>
        </w:rPr>
        <w:t>we could not detect a significant impact of the CRPD</w:t>
      </w:r>
      <w:r w:rsidR="00504227">
        <w:rPr>
          <w:lang w:val="en-GB"/>
        </w:rPr>
        <w:t xml:space="preserve"> </w:t>
      </w:r>
      <w:r w:rsidR="00504227" w:rsidRPr="00504227">
        <w:rPr>
          <w:b/>
          <w:lang w:val="en-GB"/>
        </w:rPr>
        <w:t>with regard to the establishment of new opportunity structures for DOs</w:t>
      </w:r>
      <w:r w:rsidR="00E47A5F">
        <w:rPr>
          <w:b/>
          <w:lang w:val="en-GB"/>
        </w:rPr>
        <w:t xml:space="preserve"> at the European level</w:t>
      </w:r>
      <w:r w:rsidR="00504227">
        <w:rPr>
          <w:lang w:val="en-GB"/>
        </w:rPr>
        <w:t xml:space="preserve">. </w:t>
      </w:r>
      <w:r w:rsidR="00A442E1">
        <w:rPr>
          <w:lang w:val="en-GB"/>
        </w:rPr>
        <w:t>In the time prior to</w:t>
      </w:r>
      <w:r w:rsidR="00504227">
        <w:rPr>
          <w:lang w:val="en-GB"/>
        </w:rPr>
        <w:t xml:space="preserve"> </w:t>
      </w:r>
      <w:r w:rsidR="00D7028B">
        <w:rPr>
          <w:lang w:val="en-GB"/>
        </w:rPr>
        <w:t xml:space="preserve">CRPD </w:t>
      </w:r>
      <w:r w:rsidR="00504227">
        <w:rPr>
          <w:lang w:val="en-GB"/>
        </w:rPr>
        <w:t>ratification, t</w:t>
      </w:r>
      <w:r>
        <w:rPr>
          <w:lang w:val="en-GB"/>
        </w:rPr>
        <w:t xml:space="preserve">he European Union as well as the Council of Europe </w:t>
      </w:r>
      <w:r w:rsidR="00504227">
        <w:rPr>
          <w:lang w:val="en-GB"/>
        </w:rPr>
        <w:t>ha</w:t>
      </w:r>
      <w:r w:rsidR="00A442E1">
        <w:rPr>
          <w:lang w:val="en-GB"/>
        </w:rPr>
        <w:t>ve</w:t>
      </w:r>
      <w:r w:rsidR="00504227">
        <w:rPr>
          <w:lang w:val="en-GB"/>
        </w:rPr>
        <w:t xml:space="preserve"> already established several opportunity structures that enable</w:t>
      </w:r>
      <w:r>
        <w:rPr>
          <w:lang w:val="en-GB"/>
        </w:rPr>
        <w:t xml:space="preserve"> DOs to exert i</w:t>
      </w:r>
      <w:r w:rsidR="00953DCE">
        <w:rPr>
          <w:lang w:val="en-GB"/>
        </w:rPr>
        <w:t>nfluence in policy process</w:t>
      </w:r>
      <w:r w:rsidR="00A442E1">
        <w:rPr>
          <w:lang w:val="en-GB"/>
        </w:rPr>
        <w:t>es</w:t>
      </w:r>
      <w:r w:rsidR="00504227">
        <w:rPr>
          <w:lang w:val="en-GB"/>
        </w:rPr>
        <w:t xml:space="preserve"> (e.g. via European Expert Groups [EE</w:t>
      </w:r>
      <w:r w:rsidR="00A408F1">
        <w:rPr>
          <w:lang w:val="en-GB"/>
        </w:rPr>
        <w:t>G</w:t>
      </w:r>
      <w:r w:rsidR="00504227">
        <w:rPr>
          <w:lang w:val="en-GB"/>
        </w:rPr>
        <w:t>s])</w:t>
      </w:r>
      <w:r w:rsidR="00953DCE">
        <w:rPr>
          <w:lang w:val="en-GB"/>
        </w:rPr>
        <w:t xml:space="preserve">. However, only few DOs </w:t>
      </w:r>
      <w:r w:rsidR="00504227">
        <w:rPr>
          <w:lang w:val="en-GB"/>
        </w:rPr>
        <w:t>have</w:t>
      </w:r>
      <w:r w:rsidR="00953DCE">
        <w:rPr>
          <w:lang w:val="en-GB"/>
        </w:rPr>
        <w:t xml:space="preserve"> access to these </w:t>
      </w:r>
      <w:r w:rsidR="00504227">
        <w:rPr>
          <w:lang w:val="en-GB"/>
        </w:rPr>
        <w:t>structures.</w:t>
      </w:r>
      <w:r w:rsidR="00892513">
        <w:rPr>
          <w:lang w:val="en-GB"/>
        </w:rPr>
        <w:t xml:space="preserve"> </w:t>
      </w:r>
      <w:r w:rsidR="00A442E1">
        <w:rPr>
          <w:lang w:val="en-GB"/>
        </w:rPr>
        <w:t>Our empirical data</w:t>
      </w:r>
      <w:r w:rsidR="00504227">
        <w:rPr>
          <w:lang w:val="en-GB"/>
        </w:rPr>
        <w:t xml:space="preserve"> </w:t>
      </w:r>
      <w:r w:rsidR="00A442E1">
        <w:rPr>
          <w:lang w:val="en-GB"/>
        </w:rPr>
        <w:t>(</w:t>
      </w:r>
      <w:r w:rsidR="00504227">
        <w:rPr>
          <w:lang w:val="en-GB"/>
        </w:rPr>
        <w:t>interviews</w:t>
      </w:r>
      <w:r w:rsidR="00CC2504">
        <w:rPr>
          <w:lang w:val="en-GB"/>
        </w:rPr>
        <w:t xml:space="preserve"> with representatives of seven European resp. international DOs</w:t>
      </w:r>
      <w:r w:rsidR="00504227">
        <w:rPr>
          <w:lang w:val="en-GB"/>
        </w:rPr>
        <w:t xml:space="preserve"> and additional </w:t>
      </w:r>
      <w:r w:rsidR="0042487B">
        <w:rPr>
          <w:lang w:val="en-GB"/>
        </w:rPr>
        <w:t>documentary analysis</w:t>
      </w:r>
      <w:r w:rsidR="00A442E1">
        <w:rPr>
          <w:lang w:val="en-GB"/>
        </w:rPr>
        <w:t>) indicates</w:t>
      </w:r>
      <w:r w:rsidR="00E47A5F" w:rsidRPr="006B2773">
        <w:rPr>
          <w:lang w:val="en-GB"/>
        </w:rPr>
        <w:t xml:space="preserve"> that</w:t>
      </w:r>
      <w:r w:rsidR="00CC2504" w:rsidRPr="006B2773">
        <w:rPr>
          <w:lang w:val="en-GB"/>
        </w:rPr>
        <w:t xml:space="preserve"> the financial</w:t>
      </w:r>
      <w:r w:rsidR="00504227" w:rsidRPr="006B2773">
        <w:rPr>
          <w:lang w:val="en-GB"/>
        </w:rPr>
        <w:t xml:space="preserve"> </w:t>
      </w:r>
      <w:r w:rsidR="00CC2504" w:rsidRPr="006B2773">
        <w:rPr>
          <w:lang w:val="en-GB"/>
        </w:rPr>
        <w:t>resources</w:t>
      </w:r>
      <w:r w:rsidR="00504227" w:rsidRPr="006B2773">
        <w:rPr>
          <w:lang w:val="en-GB"/>
        </w:rPr>
        <w:t xml:space="preserve"> </w:t>
      </w:r>
      <w:r w:rsidR="00E47A5F" w:rsidRPr="006B2773">
        <w:rPr>
          <w:lang w:val="en-GB"/>
        </w:rPr>
        <w:t>of</w:t>
      </w:r>
      <w:r w:rsidR="00A442E1">
        <w:rPr>
          <w:lang w:val="en-GB"/>
        </w:rPr>
        <w:t xml:space="preserve"> the</w:t>
      </w:r>
      <w:r w:rsidR="00E47A5F" w:rsidRPr="006B2773">
        <w:rPr>
          <w:lang w:val="en-GB"/>
        </w:rPr>
        <w:t xml:space="preserve"> organisation</w:t>
      </w:r>
      <w:r w:rsidR="00A442E1">
        <w:rPr>
          <w:lang w:val="en-GB"/>
        </w:rPr>
        <w:t>s</w:t>
      </w:r>
      <w:r w:rsidR="00E47A5F" w:rsidRPr="006B2773">
        <w:rPr>
          <w:lang w:val="en-GB"/>
        </w:rPr>
        <w:t xml:space="preserve"> </w:t>
      </w:r>
      <w:r w:rsidR="006B2773">
        <w:rPr>
          <w:lang w:val="en-GB"/>
        </w:rPr>
        <w:t xml:space="preserve">heavily </w:t>
      </w:r>
      <w:r w:rsidR="006B2773" w:rsidRPr="006B2773">
        <w:rPr>
          <w:lang w:val="en-GB"/>
        </w:rPr>
        <w:t>affect the</w:t>
      </w:r>
      <w:r w:rsidR="00A408F1">
        <w:rPr>
          <w:lang w:val="en-GB"/>
        </w:rPr>
        <w:t>ir</w:t>
      </w:r>
      <w:r w:rsidR="006B2773" w:rsidRPr="006B2773">
        <w:rPr>
          <w:lang w:val="en-GB"/>
        </w:rPr>
        <w:t xml:space="preserve"> opportunities</w:t>
      </w:r>
      <w:r w:rsidR="006B2773">
        <w:rPr>
          <w:lang w:val="en-GB"/>
        </w:rPr>
        <w:t xml:space="preserve"> </w:t>
      </w:r>
      <w:r w:rsidR="006B2773" w:rsidRPr="006B2773">
        <w:rPr>
          <w:lang w:val="en-GB"/>
        </w:rPr>
        <w:t>to participate in (EU) policy process</w:t>
      </w:r>
      <w:r w:rsidR="00A442E1">
        <w:rPr>
          <w:lang w:val="en-GB"/>
        </w:rPr>
        <w:t>es</w:t>
      </w:r>
      <w:r w:rsidR="006B2773" w:rsidRPr="006B2773">
        <w:rPr>
          <w:lang w:val="en-GB"/>
        </w:rPr>
        <w:t>. In fact,</w:t>
      </w:r>
      <w:r w:rsidR="002219CA">
        <w:rPr>
          <w:lang w:val="en-GB"/>
        </w:rPr>
        <w:t xml:space="preserve"> </w:t>
      </w:r>
      <w:r w:rsidR="006B2773" w:rsidRPr="006B2773">
        <w:rPr>
          <w:b/>
          <w:lang w:val="en-GB"/>
        </w:rPr>
        <w:t>organisations that receive EU funding seem to be more successful in their advocacy activities at the European level</w:t>
      </w:r>
      <w:r w:rsidR="00A442E1">
        <w:rPr>
          <w:b/>
          <w:lang w:val="en-GB"/>
        </w:rPr>
        <w:t xml:space="preserve"> than those organisations that lack these monetary resources</w:t>
      </w:r>
      <w:r w:rsidR="006B2773" w:rsidRPr="006B2773">
        <w:rPr>
          <w:lang w:val="en-GB"/>
        </w:rPr>
        <w:t xml:space="preserve">. </w:t>
      </w:r>
      <w:r w:rsidR="001D6EDD">
        <w:rPr>
          <w:lang w:val="en-GB"/>
        </w:rPr>
        <w:t>In this context</w:t>
      </w:r>
      <w:r w:rsidR="0042487B">
        <w:rPr>
          <w:lang w:val="en-GB"/>
        </w:rPr>
        <w:t xml:space="preserve"> it is important to note that</w:t>
      </w:r>
      <w:r w:rsidR="001D6EDD">
        <w:rPr>
          <w:lang w:val="en-GB"/>
        </w:rPr>
        <w:t xml:space="preserve"> t</w:t>
      </w:r>
      <w:r w:rsidR="006B2773">
        <w:rPr>
          <w:lang w:val="en-GB"/>
        </w:rPr>
        <w:t xml:space="preserve">he </w:t>
      </w:r>
      <w:r w:rsidR="006B2773" w:rsidRPr="00A408F1">
        <w:rPr>
          <w:b/>
          <w:lang w:val="en-GB"/>
        </w:rPr>
        <w:t xml:space="preserve">collaboration in EU level advocacy coalitions </w:t>
      </w:r>
      <w:r w:rsidR="006B2773">
        <w:rPr>
          <w:lang w:val="en-GB"/>
        </w:rPr>
        <w:t xml:space="preserve">and networks (such as the European Social Platform) </w:t>
      </w:r>
      <w:r w:rsidR="001D6EDD">
        <w:rPr>
          <w:lang w:val="en-GB"/>
        </w:rPr>
        <w:lastRenderedPageBreak/>
        <w:t>proves to be an effective way</w:t>
      </w:r>
      <w:r w:rsidR="00A408F1">
        <w:rPr>
          <w:lang w:val="en-GB"/>
        </w:rPr>
        <w:t xml:space="preserve"> for some organisations </w:t>
      </w:r>
      <w:r w:rsidR="001D6EDD">
        <w:rPr>
          <w:lang w:val="en-GB"/>
        </w:rPr>
        <w:t xml:space="preserve">to </w:t>
      </w:r>
      <w:r w:rsidR="00A408F1">
        <w:rPr>
          <w:lang w:val="en-GB"/>
        </w:rPr>
        <w:t xml:space="preserve">enhance their possibilities to participate in the policy process, regardless of their financial </w:t>
      </w:r>
      <w:r w:rsidR="009758AE">
        <w:rPr>
          <w:lang w:val="en-GB"/>
        </w:rPr>
        <w:t>means</w:t>
      </w:r>
      <w:r w:rsidR="00A408F1">
        <w:rPr>
          <w:lang w:val="en-GB"/>
        </w:rPr>
        <w:t xml:space="preserve">. </w:t>
      </w:r>
    </w:p>
    <w:p w:rsidR="00376F06" w:rsidRPr="0052707A" w:rsidRDefault="00AF4CE7">
      <w:pPr>
        <w:rPr>
          <w:u w:val="single"/>
          <w:lang w:val="en-GB"/>
        </w:rPr>
      </w:pPr>
      <w:r>
        <w:rPr>
          <w:u w:val="single"/>
          <w:lang w:val="en-GB"/>
        </w:rPr>
        <w:t>3</w:t>
      </w:r>
      <w:r w:rsidR="008A6113">
        <w:rPr>
          <w:u w:val="single"/>
          <w:lang w:val="en-GB"/>
        </w:rPr>
        <w:t xml:space="preserve">. </w:t>
      </w:r>
      <w:r w:rsidR="00376F06" w:rsidRPr="0052707A">
        <w:rPr>
          <w:u w:val="single"/>
          <w:lang w:val="en-GB"/>
        </w:rPr>
        <w:t xml:space="preserve">The </w:t>
      </w:r>
      <w:r w:rsidR="00EB4E0E">
        <w:rPr>
          <w:u w:val="single"/>
          <w:lang w:val="en-GB"/>
        </w:rPr>
        <w:t>I</w:t>
      </w:r>
      <w:r w:rsidR="00376F06" w:rsidRPr="0052707A">
        <w:rPr>
          <w:u w:val="single"/>
          <w:lang w:val="en-GB"/>
        </w:rPr>
        <w:t xml:space="preserve">nvolvement of </w:t>
      </w:r>
      <w:r w:rsidR="00C81377">
        <w:rPr>
          <w:u w:val="single"/>
          <w:lang w:val="en-GB"/>
        </w:rPr>
        <w:t>National Disability Organisations</w:t>
      </w:r>
      <w:r w:rsidR="00C81377" w:rsidRPr="0052707A">
        <w:rPr>
          <w:u w:val="single"/>
          <w:lang w:val="en-GB"/>
        </w:rPr>
        <w:t xml:space="preserve"> </w:t>
      </w:r>
      <w:r w:rsidR="00376F06" w:rsidRPr="0052707A">
        <w:rPr>
          <w:u w:val="single"/>
          <w:lang w:val="en-GB"/>
        </w:rPr>
        <w:t xml:space="preserve">in the </w:t>
      </w:r>
      <w:r w:rsidR="00EB4E0E">
        <w:rPr>
          <w:u w:val="single"/>
          <w:lang w:val="en-GB"/>
        </w:rPr>
        <w:t>I</w:t>
      </w:r>
      <w:r w:rsidR="00376F06" w:rsidRPr="0052707A">
        <w:rPr>
          <w:u w:val="single"/>
          <w:lang w:val="en-GB"/>
        </w:rPr>
        <w:t>mplementation of the CRPD</w:t>
      </w:r>
    </w:p>
    <w:p w:rsidR="00D7028B" w:rsidRDefault="00C92C45" w:rsidP="00C0403A">
      <w:pPr>
        <w:ind w:left="284"/>
        <w:rPr>
          <w:lang w:val="en-GB"/>
        </w:rPr>
      </w:pPr>
      <w:r>
        <w:rPr>
          <w:lang w:val="en-GB"/>
        </w:rPr>
        <w:t>In our third and last deliverable we investigated the involvement of DOs in the implementation of the CRPD at the national level. Based on interviews with experts in the field of national, regional and local disability politics</w:t>
      </w:r>
      <w:r w:rsidR="0079427C">
        <w:rPr>
          <w:lang w:val="en-GB"/>
        </w:rPr>
        <w:t xml:space="preserve"> in the nine DISCIT countries</w:t>
      </w:r>
      <w:r>
        <w:rPr>
          <w:lang w:val="en-GB"/>
        </w:rPr>
        <w:t xml:space="preserve">, we </w:t>
      </w:r>
      <w:r w:rsidR="0079427C">
        <w:rPr>
          <w:lang w:val="en-GB"/>
        </w:rPr>
        <w:t xml:space="preserve">come to the conclusion that </w:t>
      </w:r>
      <w:r w:rsidR="00B33646" w:rsidRPr="00B33646">
        <w:rPr>
          <w:b/>
          <w:lang w:val="en-GB"/>
        </w:rPr>
        <w:t xml:space="preserve">national </w:t>
      </w:r>
      <w:r w:rsidR="00F711F4" w:rsidRPr="00B33646">
        <w:rPr>
          <w:b/>
          <w:lang w:val="en-GB"/>
        </w:rPr>
        <w:t xml:space="preserve">DOs </w:t>
      </w:r>
      <w:r w:rsidR="0079427C">
        <w:rPr>
          <w:b/>
          <w:lang w:val="en-GB"/>
        </w:rPr>
        <w:t xml:space="preserve">are playing important roles </w:t>
      </w:r>
      <w:r w:rsidR="00F711F4" w:rsidRPr="00B33646">
        <w:rPr>
          <w:b/>
          <w:lang w:val="en-GB"/>
        </w:rPr>
        <w:t xml:space="preserve">in the promotion of ratification </w:t>
      </w:r>
      <w:r w:rsidR="0079427C">
        <w:rPr>
          <w:b/>
          <w:lang w:val="en-GB"/>
        </w:rPr>
        <w:t xml:space="preserve">and implementation </w:t>
      </w:r>
      <w:r w:rsidR="00F711F4" w:rsidRPr="00B33646">
        <w:rPr>
          <w:b/>
          <w:lang w:val="en-GB"/>
        </w:rPr>
        <w:t>of the CRPD</w:t>
      </w:r>
      <w:r w:rsidR="00B33646" w:rsidRPr="00B33646">
        <w:rPr>
          <w:b/>
          <w:lang w:val="en-GB"/>
        </w:rPr>
        <w:t xml:space="preserve"> in their countries</w:t>
      </w:r>
      <w:r w:rsidR="00B33646">
        <w:rPr>
          <w:lang w:val="en-GB"/>
        </w:rPr>
        <w:t xml:space="preserve">. </w:t>
      </w:r>
      <w:r w:rsidR="00206504">
        <w:rPr>
          <w:lang w:val="en-GB"/>
        </w:rPr>
        <w:t xml:space="preserve">Most national DOs are very active in drafting </w:t>
      </w:r>
      <w:r w:rsidR="00206504" w:rsidRPr="00206504">
        <w:rPr>
          <w:b/>
          <w:lang w:val="en-GB"/>
        </w:rPr>
        <w:t>shadow report</w:t>
      </w:r>
      <w:r w:rsidR="00206504">
        <w:rPr>
          <w:b/>
          <w:lang w:val="en-GB"/>
        </w:rPr>
        <w:t>s</w:t>
      </w:r>
      <w:r w:rsidR="00206504">
        <w:rPr>
          <w:lang w:val="en-GB"/>
        </w:rPr>
        <w:t xml:space="preserve"> accompanying </w:t>
      </w:r>
      <w:r w:rsidR="0079427C">
        <w:rPr>
          <w:lang w:val="en-GB"/>
        </w:rPr>
        <w:t xml:space="preserve">CRPD </w:t>
      </w:r>
      <w:r w:rsidR="00206504">
        <w:rPr>
          <w:lang w:val="en-GB"/>
        </w:rPr>
        <w:t>monitoring process</w:t>
      </w:r>
      <w:r w:rsidR="0079427C">
        <w:rPr>
          <w:lang w:val="en-GB"/>
        </w:rPr>
        <w:t>es</w:t>
      </w:r>
      <w:r w:rsidR="00B33646">
        <w:rPr>
          <w:lang w:val="en-GB"/>
        </w:rPr>
        <w:t>. While most experts state that the participation opportunities have increased since the CRPD</w:t>
      </w:r>
      <w:r w:rsidR="0079427C">
        <w:rPr>
          <w:lang w:val="en-GB"/>
        </w:rPr>
        <w:t xml:space="preserve"> was ratified</w:t>
      </w:r>
      <w:r w:rsidR="00B33646" w:rsidRPr="00206504">
        <w:rPr>
          <w:lang w:val="en-GB"/>
        </w:rPr>
        <w:t xml:space="preserve">, </w:t>
      </w:r>
      <w:r w:rsidR="00206504" w:rsidRPr="00206504">
        <w:rPr>
          <w:lang w:val="en-GB"/>
        </w:rPr>
        <w:t>some experts raise concerns that</w:t>
      </w:r>
      <w:r w:rsidR="00B33646" w:rsidRPr="00206504">
        <w:rPr>
          <w:b/>
          <w:lang w:val="en-GB"/>
        </w:rPr>
        <w:t xml:space="preserve"> </w:t>
      </w:r>
      <w:r w:rsidR="0079427C">
        <w:rPr>
          <w:b/>
          <w:lang w:val="en-GB"/>
        </w:rPr>
        <w:t xml:space="preserve">DOs' </w:t>
      </w:r>
      <w:r w:rsidR="00E314B6">
        <w:rPr>
          <w:b/>
          <w:lang w:val="en-GB"/>
        </w:rPr>
        <w:t>full</w:t>
      </w:r>
      <w:r w:rsidR="00206504">
        <w:rPr>
          <w:b/>
          <w:lang w:val="en-GB"/>
        </w:rPr>
        <w:t xml:space="preserve"> and </w:t>
      </w:r>
      <w:r w:rsidR="00E314B6">
        <w:rPr>
          <w:b/>
          <w:lang w:val="en-GB"/>
        </w:rPr>
        <w:t>equal</w:t>
      </w:r>
      <w:r w:rsidR="00206504">
        <w:rPr>
          <w:b/>
          <w:lang w:val="en-GB"/>
        </w:rPr>
        <w:t xml:space="preserve"> </w:t>
      </w:r>
      <w:r w:rsidR="000A5281">
        <w:rPr>
          <w:b/>
          <w:lang w:val="en-GB"/>
        </w:rPr>
        <w:t>involvement in the implementation process</w:t>
      </w:r>
      <w:r w:rsidR="0079427C">
        <w:rPr>
          <w:b/>
          <w:lang w:val="en-GB"/>
        </w:rPr>
        <w:t>es</w:t>
      </w:r>
      <w:r w:rsidR="000A5281">
        <w:rPr>
          <w:b/>
          <w:lang w:val="en-GB"/>
        </w:rPr>
        <w:t xml:space="preserve"> </w:t>
      </w:r>
      <w:r w:rsidR="00E314B6">
        <w:rPr>
          <w:b/>
          <w:lang w:val="en-GB"/>
        </w:rPr>
        <w:t>is still not realised effectively</w:t>
      </w:r>
      <w:r w:rsidR="00E314B6" w:rsidRPr="00E314B6">
        <w:rPr>
          <w:lang w:val="en-GB"/>
        </w:rPr>
        <w:t>. Another</w:t>
      </w:r>
      <w:r w:rsidR="00E314B6">
        <w:rPr>
          <w:lang w:val="en-GB"/>
        </w:rPr>
        <w:t xml:space="preserve"> </w:t>
      </w:r>
      <w:r w:rsidR="0079427C">
        <w:rPr>
          <w:lang w:val="en-GB"/>
        </w:rPr>
        <w:t>often mentioned</w:t>
      </w:r>
      <w:r w:rsidR="00E314B6">
        <w:rPr>
          <w:lang w:val="en-GB"/>
        </w:rPr>
        <w:t xml:space="preserve"> </w:t>
      </w:r>
      <w:r w:rsidR="00FE265D">
        <w:rPr>
          <w:lang w:val="en-GB"/>
        </w:rPr>
        <w:t xml:space="preserve">issue </w:t>
      </w:r>
      <w:r w:rsidR="00D7028B">
        <w:rPr>
          <w:lang w:val="en-GB"/>
        </w:rPr>
        <w:t>i</w:t>
      </w:r>
      <w:r w:rsidR="00C0403A">
        <w:rPr>
          <w:lang w:val="en-GB"/>
        </w:rPr>
        <w:t>s</w:t>
      </w:r>
      <w:r w:rsidR="00FE265D">
        <w:rPr>
          <w:lang w:val="en-GB"/>
        </w:rPr>
        <w:t xml:space="preserve"> the lack of resources.</w:t>
      </w:r>
      <w:r w:rsidR="00FE265D" w:rsidRPr="00FE265D">
        <w:rPr>
          <w:lang w:val="en-GB"/>
        </w:rPr>
        <w:t xml:space="preserve"> </w:t>
      </w:r>
      <w:r w:rsidR="0079427C">
        <w:rPr>
          <w:lang w:val="en-GB"/>
        </w:rPr>
        <w:t xml:space="preserve">A </w:t>
      </w:r>
      <w:r w:rsidR="00C0403A">
        <w:rPr>
          <w:lang w:val="en-GB"/>
        </w:rPr>
        <w:t xml:space="preserve">lot of DOs seem to be affected by </w:t>
      </w:r>
      <w:r w:rsidR="00C0403A" w:rsidRPr="00C0403A">
        <w:rPr>
          <w:b/>
          <w:lang w:val="en-GB"/>
        </w:rPr>
        <w:t>public cutbacks</w:t>
      </w:r>
      <w:r w:rsidR="00C0403A">
        <w:rPr>
          <w:lang w:val="en-GB"/>
        </w:rPr>
        <w:t xml:space="preserve">, </w:t>
      </w:r>
      <w:r w:rsidR="0079427C">
        <w:rPr>
          <w:lang w:val="en-GB"/>
        </w:rPr>
        <w:t xml:space="preserve">hence </w:t>
      </w:r>
      <w:r w:rsidR="00C0403A">
        <w:rPr>
          <w:lang w:val="en-GB"/>
        </w:rPr>
        <w:t xml:space="preserve">they have </w:t>
      </w:r>
      <w:r w:rsidR="00C0403A" w:rsidRPr="00C0403A">
        <w:rPr>
          <w:b/>
          <w:lang w:val="en-GB"/>
        </w:rPr>
        <w:t xml:space="preserve">difficulties to </w:t>
      </w:r>
      <w:r w:rsidR="0079427C">
        <w:rPr>
          <w:b/>
          <w:lang w:val="en-GB"/>
        </w:rPr>
        <w:t>realise sustainable</w:t>
      </w:r>
      <w:r w:rsidR="0079427C" w:rsidRPr="00C0403A">
        <w:rPr>
          <w:b/>
          <w:lang w:val="en-GB"/>
        </w:rPr>
        <w:t xml:space="preserve"> </w:t>
      </w:r>
      <w:r w:rsidR="0079427C">
        <w:rPr>
          <w:b/>
          <w:lang w:val="en-GB"/>
        </w:rPr>
        <w:t>involvement</w:t>
      </w:r>
      <w:r w:rsidR="00C0403A" w:rsidRPr="00C0403A">
        <w:rPr>
          <w:b/>
          <w:lang w:val="en-GB"/>
        </w:rPr>
        <w:t xml:space="preserve"> in</w:t>
      </w:r>
      <w:r w:rsidR="0079427C">
        <w:rPr>
          <w:b/>
          <w:lang w:val="en-GB"/>
        </w:rPr>
        <w:t xml:space="preserve"> CRPD</w:t>
      </w:r>
      <w:r w:rsidR="00C0403A" w:rsidRPr="00C0403A">
        <w:rPr>
          <w:b/>
          <w:lang w:val="en-GB"/>
        </w:rPr>
        <w:t xml:space="preserve"> </w:t>
      </w:r>
      <w:r w:rsidR="00D7028B">
        <w:rPr>
          <w:b/>
          <w:lang w:val="en-GB"/>
        </w:rPr>
        <w:t>related policy cycles</w:t>
      </w:r>
      <w:r w:rsidR="00C0403A" w:rsidRPr="00C0403A">
        <w:rPr>
          <w:lang w:val="en-GB"/>
        </w:rPr>
        <w:t xml:space="preserve">. </w:t>
      </w:r>
    </w:p>
    <w:p w:rsidR="00B54719" w:rsidRPr="00F3431B" w:rsidRDefault="0079427C" w:rsidP="00035DA5">
      <w:pPr>
        <w:ind w:left="284"/>
        <w:rPr>
          <w:lang w:val="en-GB"/>
        </w:rPr>
      </w:pPr>
      <w:r>
        <w:rPr>
          <w:lang w:val="en-GB"/>
        </w:rPr>
        <w:t xml:space="preserve">Additionally, the </w:t>
      </w:r>
      <w:r w:rsidR="00C0403A">
        <w:rPr>
          <w:lang w:val="en-GB"/>
        </w:rPr>
        <w:t>life-course perspective underline</w:t>
      </w:r>
      <w:r w:rsidR="00D7028B">
        <w:rPr>
          <w:lang w:val="en-GB"/>
        </w:rPr>
        <w:t>s</w:t>
      </w:r>
      <w:r w:rsidR="00C0403A">
        <w:rPr>
          <w:lang w:val="en-GB"/>
        </w:rPr>
        <w:t xml:space="preserve"> the relevance of resources. </w:t>
      </w:r>
      <w:r>
        <w:rPr>
          <w:lang w:val="en-GB"/>
        </w:rPr>
        <w:t xml:space="preserve">Our </w:t>
      </w:r>
      <w:r w:rsidR="00F70144">
        <w:rPr>
          <w:lang w:val="en-GB"/>
        </w:rPr>
        <w:t xml:space="preserve">analysis of life-course interviews </w:t>
      </w:r>
      <w:r>
        <w:rPr>
          <w:lang w:val="en-GB"/>
        </w:rPr>
        <w:t>with disabled persons confirms</w:t>
      </w:r>
      <w:r w:rsidR="00F70144">
        <w:rPr>
          <w:lang w:val="en-GB"/>
        </w:rPr>
        <w:t xml:space="preserve"> that </w:t>
      </w:r>
      <w:r w:rsidR="00C0403A">
        <w:rPr>
          <w:lang w:val="en-GB"/>
        </w:rPr>
        <w:t xml:space="preserve">individual </w:t>
      </w:r>
      <w:r w:rsidR="00C0403A" w:rsidRPr="00C0403A">
        <w:rPr>
          <w:b/>
          <w:lang w:val="en-GB"/>
        </w:rPr>
        <w:t>lack of resources directly affects a person’s opportunity or likelihood to become engaged</w:t>
      </w:r>
      <w:r>
        <w:rPr>
          <w:b/>
          <w:lang w:val="en-GB"/>
        </w:rPr>
        <w:t xml:space="preserve"> in civil society organisations</w:t>
      </w:r>
      <w:r w:rsidR="00C0403A">
        <w:rPr>
          <w:lang w:val="en-GB"/>
        </w:rPr>
        <w:t xml:space="preserve">. </w:t>
      </w:r>
      <w:r w:rsidR="00B1193A">
        <w:rPr>
          <w:lang w:val="en-GB"/>
        </w:rPr>
        <w:t xml:space="preserve">Another important finding </w:t>
      </w:r>
      <w:r>
        <w:rPr>
          <w:lang w:val="en-GB"/>
        </w:rPr>
        <w:t xml:space="preserve">of our research is </w:t>
      </w:r>
      <w:r w:rsidR="0097493E" w:rsidRPr="0097493E">
        <w:rPr>
          <w:lang w:val="en-GB"/>
        </w:rPr>
        <w:t>that</w:t>
      </w:r>
      <w:r w:rsidR="0097493E">
        <w:rPr>
          <w:b/>
          <w:lang w:val="en-GB"/>
        </w:rPr>
        <w:t xml:space="preserve"> </w:t>
      </w:r>
      <w:r w:rsidR="00F70144" w:rsidRPr="00F70144">
        <w:rPr>
          <w:b/>
          <w:lang w:val="en-GB"/>
        </w:rPr>
        <w:t xml:space="preserve">persons with learning difficulties and </w:t>
      </w:r>
      <w:r w:rsidR="00016D30">
        <w:rPr>
          <w:b/>
          <w:lang w:val="en-GB"/>
        </w:rPr>
        <w:t xml:space="preserve">persons with </w:t>
      </w:r>
      <w:r w:rsidR="00F70144" w:rsidRPr="00F70144">
        <w:rPr>
          <w:b/>
          <w:lang w:val="en-GB"/>
        </w:rPr>
        <w:t xml:space="preserve">psycho-social </w:t>
      </w:r>
      <w:r w:rsidR="00F70144" w:rsidRPr="0097493E">
        <w:rPr>
          <w:b/>
          <w:lang w:val="en-GB"/>
        </w:rPr>
        <w:t>disabilities</w:t>
      </w:r>
      <w:r w:rsidR="0097493E" w:rsidRPr="0097493E">
        <w:rPr>
          <w:b/>
          <w:lang w:val="en-GB"/>
        </w:rPr>
        <w:t xml:space="preserve"> are facing</w:t>
      </w:r>
      <w:r w:rsidR="0097493E">
        <w:rPr>
          <w:lang w:val="en-GB"/>
        </w:rPr>
        <w:t xml:space="preserve"> </w:t>
      </w:r>
      <w:r w:rsidR="0097493E">
        <w:rPr>
          <w:b/>
          <w:lang w:val="en-GB"/>
        </w:rPr>
        <w:t>profound disadvantages</w:t>
      </w:r>
      <w:r w:rsidR="00F70144">
        <w:rPr>
          <w:lang w:val="en-GB"/>
        </w:rPr>
        <w:t xml:space="preserve">. </w:t>
      </w:r>
      <w:r w:rsidR="00B54719">
        <w:rPr>
          <w:lang w:val="en-GB"/>
        </w:rPr>
        <w:t>S</w:t>
      </w:r>
      <w:r w:rsidR="00F70144">
        <w:rPr>
          <w:lang w:val="en-GB"/>
        </w:rPr>
        <w:t>egregating and institutional settings</w:t>
      </w:r>
      <w:r w:rsidR="0097493E">
        <w:rPr>
          <w:lang w:val="en-GB"/>
        </w:rPr>
        <w:t xml:space="preserve"> still</w:t>
      </w:r>
      <w:r w:rsidR="00F70144">
        <w:rPr>
          <w:lang w:val="en-GB"/>
        </w:rPr>
        <w:t xml:space="preserve"> remain a reality </w:t>
      </w:r>
      <w:r w:rsidR="00B54719">
        <w:rPr>
          <w:lang w:val="en-GB"/>
        </w:rPr>
        <w:t xml:space="preserve">for these </w:t>
      </w:r>
      <w:r w:rsidR="00016D30">
        <w:rPr>
          <w:lang w:val="en-GB"/>
        </w:rPr>
        <w:t xml:space="preserve">two groups </w:t>
      </w:r>
      <w:r w:rsidR="00F70144">
        <w:rPr>
          <w:lang w:val="en-GB"/>
        </w:rPr>
        <w:t>affect</w:t>
      </w:r>
      <w:r w:rsidR="0097493E">
        <w:rPr>
          <w:lang w:val="en-GB"/>
        </w:rPr>
        <w:t>ing considerably</w:t>
      </w:r>
      <w:r w:rsidR="00F70144">
        <w:rPr>
          <w:lang w:val="en-GB"/>
        </w:rPr>
        <w:t xml:space="preserve"> their possibilities to exert autonomy</w:t>
      </w:r>
      <w:r w:rsidR="00C20243">
        <w:rPr>
          <w:lang w:val="en-GB"/>
        </w:rPr>
        <w:t xml:space="preserve"> and influence</w:t>
      </w:r>
      <w:r w:rsidR="00F70144">
        <w:rPr>
          <w:lang w:val="en-GB"/>
        </w:rPr>
        <w:t>. The life-course perspective emphasise</w:t>
      </w:r>
      <w:r w:rsidR="0097493E">
        <w:rPr>
          <w:lang w:val="en-GB"/>
        </w:rPr>
        <w:t>s</w:t>
      </w:r>
      <w:r w:rsidR="00F70144">
        <w:rPr>
          <w:lang w:val="en-GB"/>
        </w:rPr>
        <w:t xml:space="preserve"> that they are</w:t>
      </w:r>
      <w:r w:rsidR="000A5281">
        <w:rPr>
          <w:lang w:val="en-GB"/>
        </w:rPr>
        <w:t xml:space="preserve"> </w:t>
      </w:r>
      <w:r w:rsidR="0097493E">
        <w:rPr>
          <w:lang w:val="en-GB"/>
        </w:rPr>
        <w:t xml:space="preserve">not only excluded from community living, but </w:t>
      </w:r>
      <w:r w:rsidR="000A5281">
        <w:rPr>
          <w:lang w:val="en-GB"/>
        </w:rPr>
        <w:t>also</w:t>
      </w:r>
      <w:r w:rsidR="00F70144">
        <w:rPr>
          <w:lang w:val="en-GB"/>
        </w:rPr>
        <w:t xml:space="preserve"> less likely to engage in political participation.</w:t>
      </w:r>
    </w:p>
    <w:sectPr w:rsidR="00B54719" w:rsidRPr="00F3431B" w:rsidSect="002E370B">
      <w:headerReference w:type="default" r:id="rId7"/>
      <w:pgSz w:w="11906" w:h="16838"/>
      <w:pgMar w:top="1985"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B3" w:rsidRDefault="006273B3" w:rsidP="002E370B">
      <w:pPr>
        <w:spacing w:after="0" w:line="240" w:lineRule="auto"/>
      </w:pPr>
      <w:r>
        <w:separator/>
      </w:r>
    </w:p>
  </w:endnote>
  <w:endnote w:type="continuationSeparator" w:id="0">
    <w:p w:rsidR="006273B3" w:rsidRDefault="006273B3" w:rsidP="002E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B3" w:rsidRDefault="006273B3" w:rsidP="002E370B">
      <w:pPr>
        <w:spacing w:after="0" w:line="240" w:lineRule="auto"/>
      </w:pPr>
      <w:r>
        <w:separator/>
      </w:r>
    </w:p>
  </w:footnote>
  <w:footnote w:type="continuationSeparator" w:id="0">
    <w:p w:rsidR="006273B3" w:rsidRDefault="006273B3" w:rsidP="002E3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0B" w:rsidRDefault="002E370B" w:rsidP="002E370B">
    <w:pPr>
      <w:pStyle w:val="Kopfzeile"/>
      <w:jc w:val="center"/>
    </w:pPr>
    <w:r>
      <w:rPr>
        <w:noProof/>
        <w:lang w:eastAsia="de-DE"/>
      </w:rPr>
      <w:drawing>
        <wp:inline distT="0" distB="0" distL="0" distR="0">
          <wp:extent cx="6196821" cy="682388"/>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it logo pl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774" cy="684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ADA"/>
    <w:multiLevelType w:val="hybridMultilevel"/>
    <w:tmpl w:val="CB3C3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6471E1"/>
    <w:multiLevelType w:val="hybridMultilevel"/>
    <w:tmpl w:val="860C0B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90458EB"/>
    <w:multiLevelType w:val="hybridMultilevel"/>
    <w:tmpl w:val="0374E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0B"/>
    <w:rsid w:val="00016D30"/>
    <w:rsid w:val="00035DA5"/>
    <w:rsid w:val="00054CC5"/>
    <w:rsid w:val="00054F78"/>
    <w:rsid w:val="000A5281"/>
    <w:rsid w:val="000C08DC"/>
    <w:rsid w:val="001D6EDD"/>
    <w:rsid w:val="00206504"/>
    <w:rsid w:val="002219CA"/>
    <w:rsid w:val="002E370B"/>
    <w:rsid w:val="00376F06"/>
    <w:rsid w:val="003C25A6"/>
    <w:rsid w:val="003C41FF"/>
    <w:rsid w:val="003E4C8B"/>
    <w:rsid w:val="0042487B"/>
    <w:rsid w:val="004A2691"/>
    <w:rsid w:val="004E57D1"/>
    <w:rsid w:val="00504227"/>
    <w:rsid w:val="0052707A"/>
    <w:rsid w:val="005B7785"/>
    <w:rsid w:val="006059B7"/>
    <w:rsid w:val="006273B3"/>
    <w:rsid w:val="00655A8F"/>
    <w:rsid w:val="00676751"/>
    <w:rsid w:val="006B2773"/>
    <w:rsid w:val="006C1FEF"/>
    <w:rsid w:val="0079427C"/>
    <w:rsid w:val="007A24CB"/>
    <w:rsid w:val="00892513"/>
    <w:rsid w:val="008A6113"/>
    <w:rsid w:val="00953DCE"/>
    <w:rsid w:val="0097493E"/>
    <w:rsid w:val="009758AE"/>
    <w:rsid w:val="00995BD5"/>
    <w:rsid w:val="00A10C2C"/>
    <w:rsid w:val="00A251D7"/>
    <w:rsid w:val="00A408F1"/>
    <w:rsid w:val="00A442E1"/>
    <w:rsid w:val="00A4571F"/>
    <w:rsid w:val="00A97EA4"/>
    <w:rsid w:val="00AF1B99"/>
    <w:rsid w:val="00AF4CE7"/>
    <w:rsid w:val="00AF6B4B"/>
    <w:rsid w:val="00B1193A"/>
    <w:rsid w:val="00B152E4"/>
    <w:rsid w:val="00B33646"/>
    <w:rsid w:val="00B54719"/>
    <w:rsid w:val="00B852C0"/>
    <w:rsid w:val="00B85E44"/>
    <w:rsid w:val="00C0403A"/>
    <w:rsid w:val="00C20243"/>
    <w:rsid w:val="00C56ABA"/>
    <w:rsid w:val="00C81377"/>
    <w:rsid w:val="00C92C45"/>
    <w:rsid w:val="00CC2504"/>
    <w:rsid w:val="00CD11BE"/>
    <w:rsid w:val="00D7028B"/>
    <w:rsid w:val="00D95FD9"/>
    <w:rsid w:val="00DA0E0A"/>
    <w:rsid w:val="00E12C49"/>
    <w:rsid w:val="00E314B6"/>
    <w:rsid w:val="00E47A5F"/>
    <w:rsid w:val="00E80037"/>
    <w:rsid w:val="00EB4E0E"/>
    <w:rsid w:val="00EF3DEA"/>
    <w:rsid w:val="00F05C43"/>
    <w:rsid w:val="00F3431B"/>
    <w:rsid w:val="00F503C3"/>
    <w:rsid w:val="00F70144"/>
    <w:rsid w:val="00F711F4"/>
    <w:rsid w:val="00F9472B"/>
    <w:rsid w:val="00FC40E3"/>
    <w:rsid w:val="00FE2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152D3-41F8-4FD4-9907-51988652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37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370B"/>
  </w:style>
  <w:style w:type="paragraph" w:styleId="Fuzeile">
    <w:name w:val="footer"/>
    <w:basedOn w:val="Standard"/>
    <w:link w:val="FuzeileZchn"/>
    <w:uiPriority w:val="99"/>
    <w:unhideWhenUsed/>
    <w:rsid w:val="002E37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70B"/>
  </w:style>
  <w:style w:type="paragraph" w:styleId="KeinLeerraum">
    <w:name w:val="No Spacing"/>
    <w:uiPriority w:val="1"/>
    <w:qFormat/>
    <w:rsid w:val="00054F78"/>
    <w:pPr>
      <w:spacing w:after="0" w:line="240" w:lineRule="auto"/>
    </w:pPr>
  </w:style>
  <w:style w:type="paragraph" w:styleId="Listenabsatz">
    <w:name w:val="List Paragraph"/>
    <w:basedOn w:val="Standard"/>
    <w:uiPriority w:val="34"/>
    <w:qFormat/>
    <w:rsid w:val="00B54719"/>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C202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8652">
      <w:bodyDiv w:val="1"/>
      <w:marLeft w:val="0"/>
      <w:marRight w:val="0"/>
      <w:marTop w:val="0"/>
      <w:marBottom w:val="0"/>
      <w:divBdr>
        <w:top w:val="none" w:sz="0" w:space="0" w:color="auto"/>
        <w:left w:val="none" w:sz="0" w:space="0" w:color="auto"/>
        <w:bottom w:val="none" w:sz="0" w:space="0" w:color="auto"/>
        <w:right w:val="none" w:sz="0" w:space="0" w:color="auto"/>
      </w:divBdr>
    </w:div>
    <w:div w:id="16622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Dins</dc:creator>
  <cp:keywords/>
  <dc:description/>
  <cp:lastModifiedBy>Andreas Sturm</cp:lastModifiedBy>
  <cp:revision>2</cp:revision>
  <dcterms:created xsi:type="dcterms:W3CDTF">2015-11-19T10:10:00Z</dcterms:created>
  <dcterms:modified xsi:type="dcterms:W3CDTF">2015-11-19T10:10:00Z</dcterms:modified>
</cp:coreProperties>
</file>